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[00:00:02.470]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agriculture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reliable,</w:t>
      </w:r>
      <w:r w:rsidR="00000000" w:rsidRPr="00000000" w:rsidDel="00000000">
        <w:rPr>
          <w:rtl w:val="0"/>
        </w:rPr>
        <w:t xml:space="preserve"> consistent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cooperative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funding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deliver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county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locally</w:t>
      </w:r>
      <w:r w:rsidR="00000000" w:rsidRPr="00000000" w:rsidDel="00000000">
        <w:rPr>
          <w:rtl w:val="0"/>
        </w:rPr>
        <w:t xml:space="preserve"> owned</w:t>
      </w:r>
      <w:r w:rsidR="00000000" w:rsidRPr="00000000" w:rsidDel="00000000">
        <w:rPr>
          <w:rtl w:val="0"/>
        </w:rPr>
        <w:t xml:space="preserve"> cooperative,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borrowers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lender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loan.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elect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peers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directors.</w:t>
      </w:r>
      <w:r w:rsidR="00000000" w:rsidRPr="00000000" w:rsidDel="00000000">
        <w:rPr>
          <w:rtl w:val="0"/>
        </w:rPr>
        <w:t xml:space="preserve"> Cooperative</w:t>
      </w:r>
      <w:r w:rsidR="00000000" w:rsidRPr="00000000" w:rsidDel="00000000">
        <w:rPr>
          <w:rtl w:val="0"/>
        </w:rPr>
        <w:t xml:space="preserve"> ownership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beneficial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coop</w:t>
      </w:r>
      <w:r w:rsidR="00000000" w:rsidRPr="00000000" w:rsidDel="00000000">
        <w:rPr>
          <w:rtl w:val="0"/>
        </w:rPr>
        <w:t xml:space="preserve"> shares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earnings.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[00:00:39.050]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deposits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funded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government.</w:t>
      </w:r>
      <w:r w:rsidR="00000000" w:rsidRPr="00000000" w:rsidDel="00000000">
        <w:rPr>
          <w:rtl w:val="0"/>
        </w:rPr>
        <w:t xml:space="preserve"> Instead,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markets.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bonds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agriculture.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loans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interest,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investors,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operate,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returns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owner.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[00:01:07.260]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cooperative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funding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reliable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today.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[00:01:18.030]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Visit</w:t>
      </w:r>
      <w:r w:rsidR="00000000" w:rsidRPr="00000000" w:rsidDel="00000000">
        <w:rPr>
          <w:rtl w:val="0"/>
        </w:rPr>
        <w:t xml:space="preserve"> Farmcreditcom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